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83" w:rsidRPr="00D07F83" w:rsidRDefault="00D07F83" w:rsidP="00D07F83">
      <w:pPr>
        <w:spacing w:before="735" w:after="450" w:line="240" w:lineRule="auto"/>
        <w:ind w:left="300"/>
        <w:textAlignment w:val="baseline"/>
        <w:outlineLvl w:val="0"/>
        <w:rPr>
          <w:rFonts w:ascii="Arial" w:eastAsia="Times New Roman" w:hAnsi="Arial" w:cs="Arial"/>
          <w:b/>
          <w:bCs/>
          <w:color w:val="003277"/>
          <w:kern w:val="36"/>
          <w:sz w:val="27"/>
          <w:szCs w:val="27"/>
          <w:lang w:eastAsia="ru-RU"/>
        </w:rPr>
      </w:pPr>
      <w:r w:rsidRPr="00D07F83">
        <w:rPr>
          <w:rFonts w:ascii="Arial" w:eastAsia="Times New Roman" w:hAnsi="Arial" w:cs="Arial"/>
          <w:b/>
          <w:bCs/>
          <w:color w:val="003277"/>
          <w:kern w:val="36"/>
          <w:sz w:val="27"/>
          <w:szCs w:val="27"/>
          <w:lang w:eastAsia="ru-RU"/>
        </w:rPr>
        <w:t>Уголовная ответственность за незаконный оборот взрывчатых веществ или взрывных устройств</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 xml:space="preserve">В соответствии со ст. 222.1 Уголовного кодекса РФ незаконные приобретение, передача, хранение, перевозка, пересылка или ношение взрывчатых веществ или взрывных устройств наказывается лишением свободы на срок от шести до восьми лет со штрафом в размере до ста тысяч рублей или в размере заработной платы или </w:t>
      </w:r>
      <w:proofErr w:type="gramStart"/>
      <w:r w:rsidRPr="00D07F83">
        <w:rPr>
          <w:rFonts w:ascii="Times New Roman" w:eastAsia="Times New Roman" w:hAnsi="Times New Roman" w:cs="Times New Roman"/>
          <w:color w:val="0B0B0B"/>
          <w:sz w:val="28"/>
          <w:szCs w:val="28"/>
          <w:lang w:eastAsia="ru-RU"/>
        </w:rPr>
        <w:t>иного дохода</w:t>
      </w:r>
      <w:proofErr w:type="gramEnd"/>
      <w:r w:rsidRPr="00D07F83">
        <w:rPr>
          <w:rFonts w:ascii="Times New Roman" w:eastAsia="Times New Roman" w:hAnsi="Times New Roman" w:cs="Times New Roman"/>
          <w:color w:val="0B0B0B"/>
          <w:sz w:val="28"/>
          <w:szCs w:val="28"/>
          <w:lang w:eastAsia="ru-RU"/>
        </w:rPr>
        <w:t xml:space="preserve"> осужденного за период до шести месяцев.</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Незаконный сбыт взрывчатых веществ или взрывных устройств 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 xml:space="preserve">Предметом указанных преступлений являются взрывчатые вещества, то есть химические соединения или смеси веществ, способные под влиянием внешних воздействий к быстрому </w:t>
      </w:r>
      <w:proofErr w:type="spellStart"/>
      <w:r w:rsidRPr="00D07F83">
        <w:rPr>
          <w:rFonts w:ascii="Times New Roman" w:eastAsia="Times New Roman" w:hAnsi="Times New Roman" w:cs="Times New Roman"/>
          <w:color w:val="0B0B0B"/>
          <w:sz w:val="28"/>
          <w:szCs w:val="28"/>
          <w:lang w:eastAsia="ru-RU"/>
        </w:rPr>
        <w:t>самораспространяющемуся</w:t>
      </w:r>
      <w:proofErr w:type="spellEnd"/>
      <w:r w:rsidRPr="00D07F83">
        <w:rPr>
          <w:rFonts w:ascii="Times New Roman" w:eastAsia="Times New Roman" w:hAnsi="Times New Roman" w:cs="Times New Roman"/>
          <w:color w:val="0B0B0B"/>
          <w:sz w:val="28"/>
          <w:szCs w:val="28"/>
          <w:lang w:eastAsia="ru-RU"/>
        </w:rPr>
        <w:t xml:space="preserve"> химическому превращению (взрыву); взрывные устройства -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Под незаконным хранением взрывчатых веществ или взрывных устройств понимается сокрытие указанных предметов в помещениях, тайниках, а также в иных местах, обеспечивающих их сохранность.</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Незаконное приобретение этих же предметов - это их покупка, получение в дар или в уплату долга, в обмен на товары и вещи, присвоение найденного, а также незаконное временное завладение ими в преступных либо иных целях, когда в действиях виновного не установлено признаков его хищения.</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Незаконным сбытом указанных предметов является их безвозвратное (в отличие от незаконной передачи) отчуждение другому лицу (приобретателю) в результате совершения какой-либо противоправной сделки (возмездной или безвозмездной), т.е. продажа, дарение, обмен и т.п.</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Лицо, добровольно сдавшее предметы, указанные в статье 222.1 Уголовного кодекса РФ, освобождается от уголовной ответственности.</w:t>
      </w:r>
    </w:p>
    <w:p w:rsidR="00D07F83" w:rsidRPr="00D07F83" w:rsidRDefault="00D07F83" w:rsidP="00D07F83">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D07F83">
        <w:rPr>
          <w:rFonts w:ascii="Times New Roman" w:eastAsia="Times New Roman" w:hAnsi="Times New Roman" w:cs="Times New Roman"/>
          <w:color w:val="0B0B0B"/>
          <w:sz w:val="28"/>
          <w:szCs w:val="28"/>
          <w:lang w:eastAsia="ru-RU"/>
        </w:rPr>
        <w:t>Добровольной сдачей взрывчатых веществ или взрывных устройств является выдача лицом по своей воле или сообщение органам власти о месте их нахождения при реальной возможности дальнейшего хранения этих предметов. Не может признаваться добровольной сдачей данных предметов их изъятие при задержании лица, а также при производстве следственных действий по их обнаружению и изъятию.</w:t>
      </w:r>
    </w:p>
    <w:p w:rsidR="00D07F83" w:rsidRPr="00D07F83" w:rsidRDefault="00D07F83" w:rsidP="00D07F83">
      <w:pPr>
        <w:spacing w:after="0" w:line="240" w:lineRule="auto"/>
        <w:textAlignment w:val="baseline"/>
        <w:rPr>
          <w:rFonts w:ascii="Arial" w:eastAsia="Times New Roman" w:hAnsi="Arial" w:cs="Arial"/>
          <w:color w:val="0B0B0B"/>
          <w:sz w:val="21"/>
          <w:szCs w:val="21"/>
          <w:lang w:eastAsia="ru-RU"/>
        </w:rPr>
      </w:pPr>
      <w:r w:rsidRPr="00D07F83">
        <w:rPr>
          <w:rFonts w:ascii="Arial" w:eastAsia="Times New Roman" w:hAnsi="Arial" w:cs="Arial"/>
          <w:color w:val="0B0B0B"/>
          <w:sz w:val="21"/>
          <w:szCs w:val="21"/>
          <w:lang w:eastAsia="ru-RU"/>
        </w:rPr>
        <w:t> </w:t>
      </w:r>
    </w:p>
    <w:p w:rsidR="00D07F83" w:rsidRDefault="00D07F83" w:rsidP="00D07F83">
      <w:pPr>
        <w:rPr>
          <w:rFonts w:ascii="Times New Roman" w:eastAsia="Times New Roman" w:hAnsi="Times New Roman" w:cs="Times New Roman"/>
          <w:iCs/>
          <w:color w:val="454545"/>
          <w:sz w:val="28"/>
          <w:szCs w:val="28"/>
          <w:lang w:eastAsia="ru-RU"/>
        </w:rPr>
      </w:pPr>
    </w:p>
    <w:p w:rsidR="00D07F83" w:rsidRPr="00AE6DD1" w:rsidRDefault="00D07F83" w:rsidP="00D07F83">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Заместитель прокурора </w:t>
      </w:r>
    </w:p>
    <w:p w:rsidR="00D07F83" w:rsidRPr="00AE6DD1" w:rsidRDefault="00D07F83" w:rsidP="00D07F83">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Муслюмовского района                                                                      Л.К. Аскаров </w:t>
      </w:r>
    </w:p>
    <w:p w:rsidR="005B5B8C" w:rsidRDefault="00D07F83">
      <w:r>
        <w:rPr>
          <w:rFonts w:ascii="Times New Roman" w:eastAsia="Times New Roman" w:hAnsi="Times New Roman" w:cs="Times New Roman"/>
          <w:iCs/>
          <w:color w:val="454545"/>
          <w:sz w:val="28"/>
          <w:szCs w:val="28"/>
          <w:lang w:eastAsia="ru-RU"/>
        </w:rPr>
        <w:t>19</w:t>
      </w:r>
      <w:r w:rsidRPr="00AE6DD1">
        <w:rPr>
          <w:rFonts w:ascii="Times New Roman" w:eastAsia="Times New Roman" w:hAnsi="Times New Roman" w:cs="Times New Roman"/>
          <w:iCs/>
          <w:color w:val="454545"/>
          <w:sz w:val="28"/>
          <w:szCs w:val="28"/>
          <w:lang w:eastAsia="ru-RU"/>
        </w:rPr>
        <w:t>.0</w:t>
      </w:r>
      <w:r>
        <w:rPr>
          <w:rFonts w:ascii="Times New Roman" w:eastAsia="Times New Roman" w:hAnsi="Times New Roman" w:cs="Times New Roman"/>
          <w:iCs/>
          <w:color w:val="454545"/>
          <w:sz w:val="28"/>
          <w:szCs w:val="28"/>
          <w:lang w:eastAsia="ru-RU"/>
        </w:rPr>
        <w:t>1</w:t>
      </w:r>
      <w:r w:rsidRPr="00AE6DD1">
        <w:rPr>
          <w:rFonts w:ascii="Times New Roman" w:eastAsia="Times New Roman" w:hAnsi="Times New Roman" w:cs="Times New Roman"/>
          <w:iCs/>
          <w:color w:val="454545"/>
          <w:sz w:val="28"/>
          <w:szCs w:val="28"/>
          <w:lang w:eastAsia="ru-RU"/>
        </w:rPr>
        <w:t>.202</w:t>
      </w:r>
      <w:r>
        <w:rPr>
          <w:rFonts w:ascii="Times New Roman" w:eastAsia="Times New Roman" w:hAnsi="Times New Roman" w:cs="Times New Roman"/>
          <w:iCs/>
          <w:color w:val="454545"/>
          <w:sz w:val="28"/>
          <w:szCs w:val="28"/>
          <w:lang w:eastAsia="ru-RU"/>
        </w:rPr>
        <w:t>4</w:t>
      </w:r>
      <w:bookmarkStart w:id="0" w:name="_GoBack"/>
      <w:bookmarkEnd w:id="0"/>
    </w:p>
    <w:sectPr w:rsidR="005B5B8C" w:rsidSect="00D07F8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83"/>
    <w:rsid w:val="005B5B8C"/>
    <w:rsid w:val="00D07F83"/>
    <w:rsid w:val="00FA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CED7D-08C7-4073-B1D3-7A797254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7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F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7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7F83"/>
    <w:rPr>
      <w:color w:val="0000FF"/>
      <w:u w:val="single"/>
    </w:rPr>
  </w:style>
  <w:style w:type="paragraph" w:styleId="a5">
    <w:name w:val="Balloon Text"/>
    <w:basedOn w:val="a"/>
    <w:link w:val="a6"/>
    <w:uiPriority w:val="99"/>
    <w:semiHidden/>
    <w:unhideWhenUsed/>
    <w:rsid w:val="00FA53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5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5100">
      <w:bodyDiv w:val="1"/>
      <w:marLeft w:val="0"/>
      <w:marRight w:val="0"/>
      <w:marTop w:val="0"/>
      <w:marBottom w:val="0"/>
      <w:divBdr>
        <w:top w:val="none" w:sz="0" w:space="0" w:color="auto"/>
        <w:left w:val="none" w:sz="0" w:space="0" w:color="auto"/>
        <w:bottom w:val="none" w:sz="0" w:space="0" w:color="auto"/>
        <w:right w:val="none" w:sz="0" w:space="0" w:color="auto"/>
      </w:divBdr>
      <w:divsChild>
        <w:div w:id="751389747">
          <w:marLeft w:val="0"/>
          <w:marRight w:val="0"/>
          <w:marTop w:val="0"/>
          <w:marBottom w:val="0"/>
          <w:divBdr>
            <w:top w:val="none" w:sz="0" w:space="0" w:color="auto"/>
            <w:left w:val="none" w:sz="0" w:space="0" w:color="auto"/>
            <w:bottom w:val="none" w:sz="0" w:space="0" w:color="auto"/>
            <w:right w:val="none" w:sz="0" w:space="0" w:color="auto"/>
          </w:divBdr>
          <w:divsChild>
            <w:div w:id="1501847490">
              <w:marLeft w:val="0"/>
              <w:marRight w:val="0"/>
              <w:marTop w:val="0"/>
              <w:marBottom w:val="0"/>
              <w:divBdr>
                <w:top w:val="none" w:sz="0" w:space="0" w:color="auto"/>
                <w:left w:val="none" w:sz="0" w:space="0" w:color="auto"/>
                <w:bottom w:val="none" w:sz="0" w:space="0" w:color="auto"/>
                <w:right w:val="none" w:sz="0" w:space="0" w:color="auto"/>
              </w:divBdr>
              <w:divsChild>
                <w:div w:id="903103972">
                  <w:marLeft w:val="0"/>
                  <w:marRight w:val="0"/>
                  <w:marTop w:val="0"/>
                  <w:marBottom w:val="0"/>
                  <w:divBdr>
                    <w:top w:val="none" w:sz="0" w:space="0" w:color="auto"/>
                    <w:left w:val="none" w:sz="0" w:space="0" w:color="auto"/>
                    <w:bottom w:val="none" w:sz="0" w:space="0" w:color="auto"/>
                    <w:right w:val="none" w:sz="0" w:space="0" w:color="auto"/>
                  </w:divBdr>
                  <w:divsChild>
                    <w:div w:id="99375272">
                      <w:marLeft w:val="0"/>
                      <w:marRight w:val="0"/>
                      <w:marTop w:val="0"/>
                      <w:marBottom w:val="0"/>
                      <w:divBdr>
                        <w:top w:val="none" w:sz="0" w:space="0" w:color="auto"/>
                        <w:left w:val="none" w:sz="0" w:space="0" w:color="auto"/>
                        <w:bottom w:val="none" w:sz="0" w:space="0" w:color="auto"/>
                        <w:right w:val="none" w:sz="0" w:space="0" w:color="auto"/>
                      </w:divBdr>
                      <w:divsChild>
                        <w:div w:id="1594240743">
                          <w:marLeft w:val="0"/>
                          <w:marRight w:val="0"/>
                          <w:marTop w:val="0"/>
                          <w:marBottom w:val="0"/>
                          <w:divBdr>
                            <w:top w:val="none" w:sz="0" w:space="0" w:color="auto"/>
                            <w:left w:val="none" w:sz="0" w:space="0" w:color="auto"/>
                            <w:bottom w:val="none" w:sz="0" w:space="0" w:color="auto"/>
                            <w:right w:val="none" w:sz="0" w:space="0" w:color="auto"/>
                          </w:divBdr>
                          <w:divsChild>
                            <w:div w:id="960841989">
                              <w:marLeft w:val="0"/>
                              <w:marRight w:val="0"/>
                              <w:marTop w:val="0"/>
                              <w:marBottom w:val="0"/>
                              <w:divBdr>
                                <w:top w:val="none" w:sz="0" w:space="0" w:color="auto"/>
                                <w:left w:val="none" w:sz="0" w:space="0" w:color="auto"/>
                                <w:bottom w:val="none" w:sz="0" w:space="0" w:color="auto"/>
                                <w:right w:val="none" w:sz="0" w:space="0" w:color="auto"/>
                              </w:divBdr>
                              <w:divsChild>
                                <w:div w:id="147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4814">
                          <w:marLeft w:val="0"/>
                          <w:marRight w:val="0"/>
                          <w:marTop w:val="0"/>
                          <w:marBottom w:val="0"/>
                          <w:divBdr>
                            <w:top w:val="none" w:sz="0" w:space="0" w:color="auto"/>
                            <w:left w:val="none" w:sz="0" w:space="0" w:color="auto"/>
                            <w:bottom w:val="none" w:sz="0" w:space="0" w:color="auto"/>
                            <w:right w:val="none" w:sz="0" w:space="0" w:color="auto"/>
                          </w:divBdr>
                          <w:divsChild>
                            <w:div w:id="1866862585">
                              <w:marLeft w:val="0"/>
                              <w:marRight w:val="0"/>
                              <w:marTop w:val="0"/>
                              <w:marBottom w:val="0"/>
                              <w:divBdr>
                                <w:top w:val="none" w:sz="0" w:space="0" w:color="auto"/>
                                <w:left w:val="none" w:sz="0" w:space="0" w:color="auto"/>
                                <w:bottom w:val="none" w:sz="0" w:space="0" w:color="auto"/>
                                <w:right w:val="none" w:sz="0" w:space="0" w:color="auto"/>
                              </w:divBdr>
                            </w:div>
                            <w:div w:id="412313384">
                              <w:marLeft w:val="0"/>
                              <w:marRight w:val="0"/>
                              <w:marTop w:val="0"/>
                              <w:marBottom w:val="0"/>
                              <w:divBdr>
                                <w:top w:val="none" w:sz="0" w:space="0" w:color="auto"/>
                                <w:left w:val="none" w:sz="0" w:space="0" w:color="auto"/>
                                <w:bottom w:val="none" w:sz="0" w:space="0" w:color="auto"/>
                                <w:right w:val="none" w:sz="0" w:space="0" w:color="auto"/>
                              </w:divBdr>
                              <w:divsChild>
                                <w:div w:id="13239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Аскаров Линар Камилович</cp:lastModifiedBy>
  <cp:revision>2</cp:revision>
  <cp:lastPrinted>2024-01-22T08:11:00Z</cp:lastPrinted>
  <dcterms:created xsi:type="dcterms:W3CDTF">2024-01-21T12:15:00Z</dcterms:created>
  <dcterms:modified xsi:type="dcterms:W3CDTF">2024-01-22T08:11:00Z</dcterms:modified>
</cp:coreProperties>
</file>